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AF" w:rsidRPr="00C37CAF" w:rsidRDefault="00C37CAF" w:rsidP="00C37CAF">
      <w:pPr>
        <w:rPr>
          <w:rFonts w:ascii="Times" w:eastAsia="Times New Roman" w:hAnsi="Times" w:cs="Times New Roman"/>
          <w:sz w:val="20"/>
          <w:szCs w:val="20"/>
        </w:rPr>
      </w:pPr>
      <w:bookmarkStart w:id="0" w:name="_GoBack"/>
      <w:bookmarkEnd w:id="0"/>
      <w:r w:rsidRPr="00C37CAF">
        <w:rPr>
          <w:rFonts w:ascii="Georgia" w:eastAsia="Times New Roman" w:hAnsi="Georgia" w:cs="Times New Roman"/>
          <w:color w:val="141414"/>
          <w:sz w:val="22"/>
          <w:szCs w:val="22"/>
          <w:shd w:val="clear" w:color="auto" w:fill="FCFCFF"/>
        </w:rPr>
        <w:t>Sanayi ve Ticaret Bakanlığı : </w:t>
      </w:r>
      <w:r w:rsidRPr="00C37CAF">
        <w:rPr>
          <w:rFonts w:ascii="Georgia" w:eastAsia="Times New Roman" w:hAnsi="Georgia" w:cs="Times New Roman"/>
          <w:b/>
          <w:bCs/>
          <w:color w:val="141414"/>
          <w:sz w:val="22"/>
          <w:szCs w:val="22"/>
          <w:shd w:val="clear" w:color="auto" w:fill="FCFCFF"/>
        </w:rPr>
        <w:t>Basınçlı Ekipmanlar Yönetmeliği (97/23/AT) gereği,</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Bayındırlık ve İskan Bakanlığı tarafından 19.12.2007 tarihinde çıkarılan ve 09.09.2009 tarihinde revize edilip 27344 sayılı Resmi Gazetede yayınlanarak yürürlüğe giren Binaların Yangından Korunması Hakkında Yönetmeliğin 99. maddesi gereği söndürücülerin dolum süreleri 4 yıla çıkarılmıştır.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Yangın söndürücülerin dolumdan ve satıştan sonraki yıllık bakımları ise bu yönetmelik gereği TS ISO 11602-2’ye uygun olarak </w:t>
      </w:r>
      <w:r w:rsidRPr="00C37CAF">
        <w:rPr>
          <w:rFonts w:ascii="Georgia" w:eastAsia="Times New Roman" w:hAnsi="Georgia" w:cs="Times New Roman"/>
          <w:b/>
          <w:bCs/>
          <w:color w:val="141414"/>
          <w:sz w:val="22"/>
          <w:szCs w:val="22"/>
          <w:shd w:val="clear" w:color="auto" w:fill="FCFCFF"/>
        </w:rPr>
        <w:t>(6 aydan kısa 1 yıldan uzun olmayan aralıklarda</w:t>
      </w:r>
      <w:r w:rsidRPr="00C37CAF">
        <w:rPr>
          <w:rFonts w:ascii="Georgia" w:eastAsia="Times New Roman" w:hAnsi="Georgia" w:cs="Times New Roman"/>
          <w:color w:val="141414"/>
          <w:sz w:val="22"/>
          <w:szCs w:val="22"/>
          <w:shd w:val="clear" w:color="auto" w:fill="FCFCFF"/>
        </w:rPr>
        <w:t>) yapılması gerekmektedir. Söndürücülerin aylık muayenelerinin ise </w:t>
      </w:r>
      <w:r w:rsidRPr="00C37CAF">
        <w:rPr>
          <w:rFonts w:ascii="Georgia" w:eastAsia="Times New Roman" w:hAnsi="Georgia" w:cs="Times New Roman"/>
          <w:b/>
          <w:bCs/>
          <w:color w:val="141414"/>
          <w:sz w:val="22"/>
          <w:szCs w:val="22"/>
          <w:shd w:val="clear" w:color="auto" w:fill="FCFCFF"/>
        </w:rPr>
        <w:t>30 günlük aralıklarla kullanıcı tarafından</w:t>
      </w:r>
      <w:r w:rsidRPr="00C37CAF">
        <w:rPr>
          <w:rFonts w:ascii="Georgia" w:eastAsia="Times New Roman" w:hAnsi="Georgia" w:cs="Times New Roman"/>
          <w:color w:val="141414"/>
          <w:sz w:val="22"/>
          <w:szCs w:val="22"/>
          <w:shd w:val="clear" w:color="auto" w:fill="FCFCFF"/>
        </w:rPr>
        <w:t> yapılması gerekmektedir.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Standardın ilgili bölümü gereği :</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22.03.2011 tarihinde yayınlanarak yürürlüğe giren </w:t>
      </w:r>
      <w:r w:rsidRPr="00C37CAF">
        <w:rPr>
          <w:rFonts w:ascii="Georgia" w:eastAsia="Times New Roman" w:hAnsi="Georgia" w:cs="Times New Roman"/>
          <w:b/>
          <w:bCs/>
          <w:color w:val="141414"/>
          <w:sz w:val="22"/>
          <w:szCs w:val="22"/>
          <w:shd w:val="clear" w:color="auto" w:fill="FCFCFF"/>
        </w:rPr>
        <w:t>TS 11827 Mart 2011</w:t>
      </w:r>
      <w:r w:rsidRPr="00C37CAF">
        <w:rPr>
          <w:rFonts w:ascii="Georgia" w:eastAsia="Times New Roman" w:hAnsi="Georgia" w:cs="Times New Roman"/>
          <w:color w:val="141414"/>
          <w:sz w:val="22"/>
          <w:szCs w:val="22"/>
          <w:shd w:val="clear" w:color="auto" w:fill="FCFCFF"/>
        </w:rPr>
        <w:t> standardının</w:t>
      </w:r>
      <w:r w:rsidRPr="00C37CAF">
        <w:rPr>
          <w:rFonts w:ascii="Georgia" w:eastAsia="Times New Roman" w:hAnsi="Georgia" w:cs="Times New Roman"/>
          <w:b/>
          <w:bCs/>
          <w:color w:val="141414"/>
          <w:sz w:val="22"/>
          <w:szCs w:val="22"/>
          <w:shd w:val="clear" w:color="auto" w:fill="FCFCFF"/>
        </w:rPr>
        <w:t>4.2.12 maddesinde</w:t>
      </w:r>
      <w:r w:rsidRPr="00C37CAF">
        <w:rPr>
          <w:rFonts w:ascii="Georgia" w:eastAsia="Times New Roman" w:hAnsi="Georgia" w:cs="Times New Roman"/>
          <w:color w:val="141414"/>
          <w:sz w:val="22"/>
          <w:szCs w:val="22"/>
          <w:shd w:val="clear" w:color="auto" w:fill="FCFCFF"/>
        </w:rPr>
        <w:t> “İş yeri tarafından hizmet verilen yangın söndürme cihazlarına TS ISO 11602-2’ye uygun olarak periyodik bakım, dolum, test, onarım, periyodik muayene ve bakım hizmetleri verilmeli, bu hizmetlerle ilgili veriler kayıt altına alınarak yapılan işlemleri gösteren bakım formlarının bir örneği müşteriye teslim edilmelidir”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Söz konusu standardın</w:t>
      </w:r>
      <w:r w:rsidRPr="00C37CAF">
        <w:rPr>
          <w:rFonts w:ascii="Georgia" w:eastAsia="Times New Roman" w:hAnsi="Georgia" w:cs="Times New Roman"/>
          <w:b/>
          <w:bCs/>
          <w:color w:val="141414"/>
          <w:sz w:val="22"/>
          <w:szCs w:val="22"/>
          <w:shd w:val="clear" w:color="auto" w:fill="FCFCFF"/>
        </w:rPr>
        <w:t> 4.2.14 maddesinde</w:t>
      </w:r>
      <w:r w:rsidRPr="00C37CAF">
        <w:rPr>
          <w:rFonts w:ascii="Georgia" w:eastAsia="Times New Roman" w:hAnsi="Georgia" w:cs="Times New Roman"/>
          <w:color w:val="141414"/>
          <w:sz w:val="22"/>
          <w:szCs w:val="22"/>
          <w:shd w:val="clear" w:color="auto" w:fill="FCFCFF"/>
        </w:rPr>
        <w:t xml:space="preserve"> ise “İş yeri, cihazların bakım ve dolum hizmetini yazılı sözleşme esasına göre verebilecek yapıda </w:t>
      </w:r>
      <w:proofErr w:type="spellStart"/>
      <w:r w:rsidRPr="00C37CAF">
        <w:rPr>
          <w:rFonts w:ascii="Georgia" w:eastAsia="Times New Roman" w:hAnsi="Georgia" w:cs="Times New Roman"/>
          <w:color w:val="141414"/>
          <w:sz w:val="22"/>
          <w:szCs w:val="22"/>
          <w:shd w:val="clear" w:color="auto" w:fill="FCFCFF"/>
        </w:rPr>
        <w:t>olmalı,kullanıcı</w:t>
      </w:r>
      <w:proofErr w:type="spellEnd"/>
      <w:r w:rsidRPr="00C37CAF">
        <w:rPr>
          <w:rFonts w:ascii="Georgia" w:eastAsia="Times New Roman" w:hAnsi="Georgia" w:cs="Times New Roman"/>
          <w:color w:val="141414"/>
          <w:sz w:val="22"/>
          <w:szCs w:val="22"/>
          <w:shd w:val="clear" w:color="auto" w:fill="FCFCFF"/>
        </w:rPr>
        <w:t xml:space="preserve"> ile bakım sözleşmesi yapmalı..” denilmektedir.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Aynı standardın </w:t>
      </w:r>
      <w:r w:rsidRPr="00C37CAF">
        <w:rPr>
          <w:rFonts w:ascii="Georgia" w:eastAsia="Times New Roman" w:hAnsi="Georgia" w:cs="Times New Roman"/>
          <w:b/>
          <w:bCs/>
          <w:color w:val="141414"/>
          <w:sz w:val="22"/>
          <w:szCs w:val="22"/>
          <w:shd w:val="clear" w:color="auto" w:fill="FCFCFF"/>
        </w:rPr>
        <w:t>4.2.20 maddesinde</w:t>
      </w:r>
      <w:r w:rsidRPr="00C37CAF">
        <w:rPr>
          <w:rFonts w:ascii="Georgia" w:eastAsia="Times New Roman" w:hAnsi="Georgia" w:cs="Times New Roman"/>
          <w:color w:val="141414"/>
          <w:sz w:val="22"/>
          <w:szCs w:val="22"/>
          <w:shd w:val="clear" w:color="auto" w:fill="FCFCFF"/>
        </w:rPr>
        <w:t> de “…kullanıcılar tarafından yıllık bakımları yaptırılmayan söndürücülerde oluşabilecek olumsuzluklardan dolayı iş yeri sorumlu tutulmamalıdır” denilmektedir.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Ayrıca, yangın söndürücüler Basınçlı Ekipmanlar Yönetmeliğine göre üretilmesi gereken ürünlerdir. 2004 yılından itibaren Basınçlı Ekipmanlar Yönetmeliği (97/23/AT) uygulanması zorunlu olarak yürürlüğe girmiştir.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 xml:space="preserve">Aşırı basınç yükselmesinde söndürücünün içindeki basıncı tahliye edebilmesi için, tetik tertibatı üzerinde “Yüksek Basınç Emniyet </w:t>
      </w:r>
      <w:proofErr w:type="spellStart"/>
      <w:r w:rsidRPr="00C37CAF">
        <w:rPr>
          <w:rFonts w:ascii="Georgia" w:eastAsia="Times New Roman" w:hAnsi="Georgia" w:cs="Times New Roman"/>
          <w:color w:val="141414"/>
          <w:sz w:val="22"/>
          <w:szCs w:val="22"/>
          <w:shd w:val="clear" w:color="auto" w:fill="FCFCFF"/>
        </w:rPr>
        <w:t>Ventili</w:t>
      </w:r>
      <w:proofErr w:type="spellEnd"/>
      <w:r w:rsidRPr="00C37CAF">
        <w:rPr>
          <w:rFonts w:ascii="Georgia" w:eastAsia="Times New Roman" w:hAnsi="Georgia" w:cs="Times New Roman"/>
          <w:color w:val="141414"/>
          <w:sz w:val="22"/>
          <w:szCs w:val="22"/>
          <w:shd w:val="clear" w:color="auto" w:fill="FCFCFF"/>
        </w:rPr>
        <w:t xml:space="preserve"> </w:t>
      </w:r>
      <w:proofErr w:type="spellStart"/>
      <w:r w:rsidRPr="00C37CAF">
        <w:rPr>
          <w:rFonts w:ascii="Georgia" w:eastAsia="Times New Roman" w:hAnsi="Georgia" w:cs="Times New Roman"/>
          <w:color w:val="141414"/>
          <w:sz w:val="22"/>
          <w:szCs w:val="22"/>
          <w:shd w:val="clear" w:color="auto" w:fill="FCFCFF"/>
        </w:rPr>
        <w:t>nin</w:t>
      </w:r>
      <w:proofErr w:type="spellEnd"/>
      <w:r w:rsidRPr="00C37CAF">
        <w:rPr>
          <w:rFonts w:ascii="Georgia" w:eastAsia="Times New Roman" w:hAnsi="Georgia" w:cs="Times New Roman"/>
          <w:color w:val="141414"/>
          <w:sz w:val="22"/>
          <w:szCs w:val="22"/>
          <w:shd w:val="clear" w:color="auto" w:fill="FCFCFF"/>
        </w:rPr>
        <w:t>” bulunması zorunludur.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shd w:val="clear" w:color="auto" w:fill="FCFCFF"/>
        </w:rPr>
        <w:t>Teklif ettiğimiz yeni söndürücüler üzerinde bahsedilen özellikte tetik tertibatı kullanılmaktadır.</w:t>
      </w:r>
      <w:r w:rsidRPr="00C37CAF">
        <w:rPr>
          <w:rFonts w:ascii="Georgia" w:eastAsia="Times New Roman" w:hAnsi="Georgia" w:cs="Times New Roman"/>
          <w:color w:val="141414"/>
          <w:sz w:val="22"/>
          <w:szCs w:val="22"/>
        </w:rPr>
        <w:br/>
      </w:r>
      <w:r w:rsidRPr="00C37CAF">
        <w:rPr>
          <w:rFonts w:ascii="Georgia" w:eastAsia="Times New Roman" w:hAnsi="Georgia" w:cs="Times New Roman"/>
          <w:color w:val="141414"/>
          <w:sz w:val="22"/>
          <w:szCs w:val="22"/>
        </w:rPr>
        <w:br/>
      </w:r>
      <w:r w:rsidRPr="00C37CAF">
        <w:rPr>
          <w:rFonts w:ascii="Georgia" w:eastAsia="Times New Roman" w:hAnsi="Georgia" w:cs="Times New Roman"/>
          <w:b/>
          <w:bCs/>
          <w:color w:val="141414"/>
          <w:sz w:val="22"/>
          <w:szCs w:val="22"/>
          <w:shd w:val="clear" w:color="auto" w:fill="FCFCFF"/>
        </w:rPr>
        <w:t>Not :</w:t>
      </w:r>
      <w:r w:rsidRPr="00C37CAF">
        <w:rPr>
          <w:rFonts w:ascii="Georgia" w:eastAsia="Times New Roman" w:hAnsi="Georgia" w:cs="Times New Roman"/>
          <w:color w:val="141414"/>
          <w:sz w:val="22"/>
          <w:szCs w:val="22"/>
          <w:shd w:val="clear" w:color="auto" w:fill="FCFCFF"/>
        </w:rPr>
        <w:t> Elinizde mevcut Cihazlarda bu özellik yok ise dolum yapılmamaktadır. Dolum yapılsa dahi denetimlerden geçmediği gibi toplatılmaktadır. Mağduriyet yaşanmaması açısından “herhangi bir yangın olayında yüksek basınç sırasında patlamayarak hazne içerisinde bulunan gazı boşaltma amaçlı” bu özelliğin kullandığınız tüm cihazlarda olmasına özen gösteriniz.</w:t>
      </w:r>
    </w:p>
    <w:p w:rsidR="00912CF8" w:rsidRDefault="00912CF8"/>
    <w:sectPr w:rsidR="00912CF8" w:rsidSect="00912CF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Times">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A2"/>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CAF"/>
    <w:rsid w:val="00414007"/>
    <w:rsid w:val="00912CF8"/>
    <w:rsid w:val="00C37CAF"/>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37C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37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0705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5A86-E2F9-481C-ADE3-78214E1BB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Fikret</Company>
  <LinksUpToDate>false</LinksUpToDate>
  <CharactersWithSpaces>2356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Fikret Kır</dc:creator>
  <cp:lastModifiedBy>AKADEMİ YANGIN</cp:lastModifiedBy>
  <cp:revision>2</cp:revision>
  <dcterms:created xsi:type="dcterms:W3CDTF">2018-09-10T12:24:00Z</dcterms:created>
  <dcterms:modified xsi:type="dcterms:W3CDTF">2018-09-10T12:24:00Z</dcterms:modified>
</cp:coreProperties>
</file>